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E98B" w14:textId="77777777" w:rsidR="002454BB" w:rsidRDefault="002454BB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1859756E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Organizational Items: </w:t>
      </w:r>
    </w:p>
    <w:p w14:paraId="3AFAC112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1.1 Call to Order</w:t>
      </w:r>
    </w:p>
    <w:p w14:paraId="40CDADA6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Roll Call  </w:t>
      </w: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"/>
        <w:gridCol w:w="4425"/>
        <w:gridCol w:w="495"/>
      </w:tblGrid>
      <w:tr w:rsidR="002454BB" w14:paraId="43D7E57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988A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President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Shaw, Jared)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BACD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2E0E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Sakellar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Socrates)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91EC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4BCBA7F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B2B86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Vice President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(Barringer, Katrina)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81FC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4CE8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Rolle, Christian)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2823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40D7C03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7CC74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External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Van Stee, Victoria)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658A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5273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Riddle, Matthew)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ECE29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3BC01A6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56568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Academic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Cuevas, Julia)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0A70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D6BB7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Kanakkahwage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Mahen)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1D3A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08EF1C7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B810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of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Finance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Felix, Jay)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304D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E8CC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Cruz, Gizelle)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8019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6031A01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0154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Executive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Assistant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Mason, Sierra)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CB08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D1BE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Monge, Annie)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25B7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1C3048D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7E8D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Inter-Club Council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Maya, Genesis)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CC26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C16C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Large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(Flanagan, Hugo)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0A20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41BCEDF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3B0B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Trustee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Natour, Hadi)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C28E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85D9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Koen Diaz)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9B84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6FE8067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3256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Events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C36B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9FDC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(William Kuria)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69968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72E7D91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F634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Outreach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E80E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3FA5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(Jayasinghe, Darshika)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7F9F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5645043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4701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Sustainability Director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(Sherratt, Tami)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C583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E564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 La Cruz, Paulino)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0D03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4BB" w14:paraId="6031377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301C" w14:textId="77777777" w:rsidR="002454BB" w:rsidRDefault="000000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Artistic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Director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Baugh, Nikki)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6742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1496" w14:textId="77777777" w:rsidR="002454BB" w:rsidRDefault="002454B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8E84" w14:textId="77777777" w:rsidR="002454BB" w:rsidRDefault="00245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2AB8EF" w14:textId="77777777" w:rsidR="002454BB" w:rsidRDefault="002454BB">
      <w:pPr>
        <w:widowControl w:val="0"/>
        <w:rPr>
          <w:rFonts w:ascii="Times New Roman" w:eastAsia="Times New Roman" w:hAnsi="Times New Roman" w:cs="Times New Roman"/>
          <w:b/>
        </w:rPr>
      </w:pPr>
    </w:p>
    <w:p w14:paraId="110592B3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1.4. AB 2449 </w:t>
      </w:r>
    </w:p>
    <w:p w14:paraId="1DD9A9C2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Student Senate will consider members to participate remotely without giving up their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location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2522AF4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</w:p>
    <w:p w14:paraId="6546A44F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1.5. Adoption of the Agenda -</w:t>
      </w:r>
    </w:p>
    <w:p w14:paraId="621A6A73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1.6. Approval of the Minutes -</w:t>
      </w:r>
    </w:p>
    <w:p w14:paraId="2A72B25E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March 14 Regular Meeting</w:t>
        </w:r>
      </w:hyperlink>
    </w:p>
    <w:p w14:paraId="0D318BE8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March 28 Special Meeting</w:t>
        </w:r>
      </w:hyperlink>
    </w:p>
    <w:p w14:paraId="40D0E8E5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9837A13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Public Comment: </w:t>
      </w:r>
    </w:p>
    <w:p w14:paraId="33EEFF6C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This segment of the meeting is reserved for persons desiring to address the CHC Student Senate 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any  matter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concern that is not stated on the agenda. A time limit of three (3) minutes per speaker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fifteen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15) minutes per topic shall be observed. The law does not permit any action to be taken, nor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extended  discussion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any items not on the agenda. The CHC Student Senate may briefly respond to statements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made  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questions posed, however, for further information, please contact the CHC Student Senate President for  the item of discussion to be placed on a future agenda. (Brown Act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54954.2) </w:t>
      </w:r>
    </w:p>
    <w:p w14:paraId="72C9A7E0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3. Guest Speakers (10 min)</w:t>
      </w:r>
    </w:p>
    <w:p w14:paraId="3D3A2DD1" w14:textId="77777777" w:rsidR="002454BB" w:rsidRDefault="002454BB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</w:rPr>
      </w:pPr>
    </w:p>
    <w:p w14:paraId="7BFC8510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4. Communication from the floor (3 minutes)</w:t>
      </w:r>
    </w:p>
    <w:p w14:paraId="2189A45C" w14:textId="77777777" w:rsidR="002454BB" w:rsidRDefault="002454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873267A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Kudos and Comradery (3 minutes)</w:t>
      </w:r>
    </w:p>
    <w:p w14:paraId="3497F3FB" w14:textId="77777777" w:rsidR="002454BB" w:rsidRDefault="002454BB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</w:p>
    <w:p w14:paraId="4477BFF9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 New Business</w:t>
      </w:r>
      <w:r>
        <w:rPr>
          <w:rFonts w:ascii="Times New Roman" w:eastAsia="Times New Roman" w:hAnsi="Times New Roman" w:cs="Times New Roman"/>
          <w:b/>
        </w:rPr>
        <w:t>:</w:t>
      </w:r>
    </w:p>
    <w:p w14:paraId="410C7A7D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Cortz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45 Minutes          </w:t>
      </w:r>
    </w:p>
    <w:p w14:paraId="16C3EEBF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Ivan Pena, the Dean of Student Services, will present a “World Café” workshop to the senate. </w:t>
      </w:r>
    </w:p>
    <w:p w14:paraId="75AAC6FC" w14:textId="77777777" w:rsidR="002454BB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Cortz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5 Minutes          </w:t>
      </w:r>
    </w:p>
    <w:p w14:paraId="33A0BB31" w14:textId="77777777" w:rsidR="002454BB" w:rsidRDefault="00000000">
      <w:pPr>
        <w:widowControl w:val="0"/>
        <w:ind w:left="75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The senate will consider approving the club charters for ASL, Christian, Pride, Art, and Astronomy Club.</w:t>
      </w:r>
    </w:p>
    <w:p w14:paraId="383A1434" w14:textId="77777777" w:rsidR="002454BB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6.3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</w:rPr>
        <w:tab/>
        <w:t xml:space="preserve">  Van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Stee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 </w:t>
      </w:r>
    </w:p>
    <w:p w14:paraId="2725DAB8" w14:textId="77777777" w:rsidR="002454BB" w:rsidRDefault="00000000">
      <w:pPr>
        <w:widowControl w:val="0"/>
        <w:ind w:left="75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The senate will discuss identified issues with the CHC registration process and possible solutions. </w:t>
      </w:r>
    </w:p>
    <w:p w14:paraId="724497C9" w14:textId="77777777" w:rsidR="002454BB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6.4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Maya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5 Minutes          </w:t>
      </w:r>
    </w:p>
    <w:p w14:paraId="4C7FFD25" w14:textId="77777777" w:rsidR="002454BB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senate will view and approve the Spring 2025 Student Senate graduation stoles.</w:t>
      </w:r>
    </w:p>
    <w:p w14:paraId="651F497C" w14:textId="77777777" w:rsidR="002454BB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6.5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Mason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 </w:t>
      </w:r>
    </w:p>
    <w:p w14:paraId="7C52FA1A" w14:textId="77777777" w:rsidR="002454BB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senate will briefly discuss the upcoming election and answer any questions. </w:t>
      </w:r>
    </w:p>
    <w:p w14:paraId="1651B268" w14:textId="77777777" w:rsidR="002454BB" w:rsidRDefault="002454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5735F61A" w14:textId="77777777" w:rsidR="002454BB" w:rsidRDefault="00000000">
      <w:pPr>
        <w:widowControl w:val="0"/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8. Reports</w:t>
      </w:r>
    </w:p>
    <w:p w14:paraId="4C2F37BC" w14:textId="77777777" w:rsidR="002454BB" w:rsidRDefault="00000000">
      <w:pPr>
        <w:widowControl w:val="0"/>
        <w:ind w:left="35"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Reports of the President and the Advisor shall be limited to five (5) minutes each. All other </w:t>
      </w:r>
      <w:proofErr w:type="gramStart"/>
      <w:r>
        <w:rPr>
          <w:rFonts w:ascii="Times New Roman" w:eastAsia="Times New Roman" w:hAnsi="Times New Roman" w:cs="Times New Roman"/>
          <w:i/>
        </w:rPr>
        <w:t>reports  shall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be limited to three (3) minutes each. Please refrain from discussion during Officer Reports. Each </w:t>
      </w:r>
      <w:proofErr w:type="gramStart"/>
      <w:r>
        <w:rPr>
          <w:rFonts w:ascii="Times New Roman" w:eastAsia="Times New Roman" w:hAnsi="Times New Roman" w:cs="Times New Roman"/>
          <w:i/>
        </w:rPr>
        <w:t>item  can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only be extended once, by no more than 5 minutes. </w:t>
      </w:r>
    </w:p>
    <w:tbl>
      <w:tblPr>
        <w:tblStyle w:val="a0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495"/>
        <w:gridCol w:w="1035"/>
        <w:gridCol w:w="810"/>
        <w:gridCol w:w="720"/>
        <w:gridCol w:w="1005"/>
        <w:gridCol w:w="525"/>
        <w:gridCol w:w="1320"/>
        <w:gridCol w:w="210"/>
        <w:gridCol w:w="1530"/>
        <w:gridCol w:w="870"/>
      </w:tblGrid>
      <w:tr w:rsidR="002454BB" w14:paraId="45007398" w14:textId="77777777">
        <w:trPr>
          <w:trHeight w:val="420"/>
        </w:trPr>
        <w:tc>
          <w:tcPr>
            <w:tcW w:w="9900" w:type="dxa"/>
            <w:gridSpan w:val="11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FD8A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 Advisor and Co-Advisor Reports (Paddock and Cortz)</w:t>
            </w:r>
          </w:p>
        </w:tc>
      </w:tr>
      <w:tr w:rsidR="002454BB" w14:paraId="10FC8F8E" w14:textId="77777777">
        <w:trPr>
          <w:trHeight w:val="420"/>
        </w:trPr>
        <w:tc>
          <w:tcPr>
            <w:tcW w:w="9900" w:type="dxa"/>
            <w:gridSpan w:val="11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6D9A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Executive Council Reports</w:t>
            </w:r>
          </w:p>
        </w:tc>
      </w:tr>
      <w:tr w:rsidR="002454BB" w14:paraId="0DD84EC1" w14:textId="77777777">
        <w:trPr>
          <w:trHeight w:val="42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EF8F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Shaw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22AE5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Barringer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8D3F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 Stee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A60B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Cuevas</w:t>
            </w:r>
          </w:p>
        </w:tc>
        <w:tc>
          <w:tcPr>
            <w:tcW w:w="15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CD16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Felix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9DB5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Mason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04FF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Natour</w:t>
            </w:r>
          </w:p>
        </w:tc>
      </w:tr>
      <w:tr w:rsidR="002454BB" w14:paraId="6C721A8E" w14:textId="77777777">
        <w:trPr>
          <w:trHeight w:val="420"/>
        </w:trPr>
        <w:tc>
          <w:tcPr>
            <w:tcW w:w="9900" w:type="dxa"/>
            <w:gridSpan w:val="11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0AB8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 Officer Reports</w:t>
            </w:r>
          </w:p>
        </w:tc>
      </w:tr>
      <w:tr w:rsidR="002454BB" w14:paraId="24893D0C" w14:textId="77777777">
        <w:trPr>
          <w:trHeight w:val="420"/>
        </w:trPr>
        <w:tc>
          <w:tcPr>
            <w:tcW w:w="18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BCB5" w14:textId="77777777" w:rsidR="002454B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Sherratt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16729" w14:textId="77777777" w:rsidR="002454B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Baugh</w:t>
            </w:r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7006" w14:textId="77777777" w:rsidR="002454B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Sakellar</w:t>
            </w:r>
            <w:proofErr w:type="spellEnd"/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9981B" w14:textId="77777777" w:rsidR="002454B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Rolle</w:t>
            </w:r>
          </w:p>
        </w:tc>
        <w:tc>
          <w:tcPr>
            <w:tcW w:w="2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1C73" w14:textId="77777777" w:rsidR="002454B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Kanakkahwage</w:t>
            </w:r>
            <w:proofErr w:type="spellEnd"/>
          </w:p>
        </w:tc>
      </w:tr>
      <w:tr w:rsidR="002454BB" w14:paraId="6DB4C711" w14:textId="77777777">
        <w:trPr>
          <w:trHeight w:val="420"/>
        </w:trPr>
        <w:tc>
          <w:tcPr>
            <w:tcW w:w="18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C3F6" w14:textId="77777777" w:rsidR="002454B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Riddle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7C9A" w14:textId="77777777" w:rsidR="002454B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Cruz</w:t>
            </w:r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D750" w14:textId="77777777" w:rsidR="002454B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Monge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6212E" w14:textId="77777777" w:rsidR="002454B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Flanagan</w:t>
            </w:r>
          </w:p>
        </w:tc>
        <w:tc>
          <w:tcPr>
            <w:tcW w:w="2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CB22" w14:textId="77777777" w:rsidR="002454B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Koen</w:t>
            </w:r>
          </w:p>
        </w:tc>
      </w:tr>
      <w:tr w:rsidR="002454BB" w14:paraId="2DDABE87" w14:textId="77777777">
        <w:trPr>
          <w:trHeight w:val="420"/>
        </w:trPr>
        <w:tc>
          <w:tcPr>
            <w:tcW w:w="5445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D0C9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 Inter-Club Council Reports</w:t>
            </w:r>
          </w:p>
        </w:tc>
        <w:tc>
          <w:tcPr>
            <w:tcW w:w="445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815D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Maya</w:t>
            </w:r>
          </w:p>
        </w:tc>
      </w:tr>
      <w:tr w:rsidR="002454BB" w14:paraId="1EA3739F" w14:textId="77777777">
        <w:trPr>
          <w:trHeight w:val="420"/>
        </w:trPr>
        <w:tc>
          <w:tcPr>
            <w:tcW w:w="9900" w:type="dxa"/>
            <w:gridSpan w:val="11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108B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 Committee Reports</w:t>
            </w:r>
          </w:p>
        </w:tc>
      </w:tr>
      <w:tr w:rsidR="002454BB" w14:paraId="7A36D88B" w14:textId="77777777">
        <w:trPr>
          <w:trHeight w:val="420"/>
        </w:trPr>
        <w:tc>
          <w:tcPr>
            <w:tcW w:w="18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6D67" w14:textId="77777777" w:rsidR="002454BB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 Senate, Distance Ed Program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1608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Chairs Council, Crafton Council, Ed. Master Plan</w:t>
            </w:r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166E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Ed. Tech, </w:t>
            </w:r>
          </w:p>
          <w:p w14:paraId="3D907EF6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 Planning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66BA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Honors Steering, Budget, S.E.A.</w:t>
            </w:r>
          </w:p>
        </w:tc>
        <w:tc>
          <w:tcPr>
            <w:tcW w:w="2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D2B9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Classified </w:t>
            </w:r>
          </w:p>
          <w:p w14:paraId="5368E570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</w:t>
            </w:r>
          </w:p>
        </w:tc>
      </w:tr>
      <w:tr w:rsidR="002454BB" w14:paraId="5D3D824C" w14:textId="77777777">
        <w:trPr>
          <w:trHeight w:val="420"/>
        </w:trPr>
        <w:tc>
          <w:tcPr>
            <w:tcW w:w="18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4B0D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Planning &amp; program review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039F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development/flex</w:t>
            </w:r>
          </w:p>
        </w:tc>
        <w:tc>
          <w:tcPr>
            <w:tcW w:w="17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B2B2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 Arts</w:t>
            </w:r>
          </w:p>
        </w:tc>
        <w:tc>
          <w:tcPr>
            <w:tcW w:w="18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1886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District Budget Advisory</w:t>
            </w:r>
          </w:p>
        </w:tc>
        <w:tc>
          <w:tcPr>
            <w:tcW w:w="2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BFEB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Multi-Cul. Center, Institutional Review,</w:t>
            </w:r>
          </w:p>
        </w:tc>
      </w:tr>
      <w:tr w:rsidR="002454BB" w14:paraId="27E06CB8" w14:textId="77777777">
        <w:trPr>
          <w:trHeight w:val="420"/>
        </w:trPr>
        <w:tc>
          <w:tcPr>
            <w:tcW w:w="9900" w:type="dxa"/>
            <w:gridSpan w:val="11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74FA" w14:textId="77777777" w:rsidR="002454BB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8.6 Classroom Announcements</w:t>
            </w:r>
          </w:p>
        </w:tc>
      </w:tr>
    </w:tbl>
    <w:p w14:paraId="67B796C6" w14:textId="77777777" w:rsidR="002454BB" w:rsidRDefault="002454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09201229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Future agenda items -</w:t>
      </w:r>
    </w:p>
    <w:p w14:paraId="2E655569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b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00"/>
        </w:rPr>
        <w:t>Email all agenda items (normal and executive) to Executive Assistant, and cc President,</w:t>
      </w:r>
      <w:r>
        <w:rPr>
          <w:rFonts w:ascii="Times New Roman" w:eastAsia="Times New Roman" w:hAnsi="Times New Roman" w:cs="Times New Roman"/>
          <w:i/>
        </w:rPr>
        <w:t xml:space="preserve"> Vice President</w:t>
      </w:r>
      <w:r>
        <w:rPr>
          <w:rFonts w:ascii="Times New Roman" w:eastAsia="Times New Roman" w:hAnsi="Times New Roman" w:cs="Times New Roman"/>
          <w:i/>
          <w:color w:val="000000"/>
        </w:rPr>
        <w:t>, and Advisors Paddock and Cortz by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Tuesday, April 15</w:t>
      </w:r>
    </w:p>
    <w:p w14:paraId="008A5E90" w14:textId="77777777" w:rsidR="002454BB" w:rsidRDefault="002454BB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</w:rPr>
      </w:pPr>
    </w:p>
    <w:p w14:paraId="575A5D61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 Upcoming Dates -</w:t>
      </w:r>
    </w:p>
    <w:p w14:paraId="40BD2C61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Next meeting:</w:t>
      </w:r>
      <w:r>
        <w:rPr>
          <w:rFonts w:ascii="Times New Roman" w:eastAsia="Times New Roman" w:hAnsi="Times New Roman" w:cs="Times New Roman"/>
        </w:rPr>
        <w:t xml:space="preserve"> April 18th, 3-5pm (Special)</w:t>
      </w:r>
    </w:p>
    <w:p w14:paraId="345C57E3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 xml:space="preserve">Agenda item requests, absence and address notifications due: </w:t>
      </w:r>
      <w:r>
        <w:rPr>
          <w:rFonts w:ascii="Times New Roman" w:eastAsia="Times New Roman" w:hAnsi="Times New Roman" w:cs="Times New Roman"/>
          <w:b/>
        </w:rPr>
        <w:t>April 15</w:t>
      </w:r>
    </w:p>
    <w:p w14:paraId="55A4605A" w14:textId="77777777" w:rsidR="002454BB" w:rsidRDefault="002454BB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</w:p>
    <w:p w14:paraId="1E114213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>. Adjournment -</w:t>
      </w:r>
    </w:p>
    <w:p w14:paraId="1720A387" w14:textId="77777777" w:rsidR="002454BB" w:rsidRDefault="002454BB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  <w:b/>
          <w:i/>
        </w:rPr>
      </w:pPr>
    </w:p>
    <w:p w14:paraId="5A2E369A" w14:textId="77777777" w:rsidR="002454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Mission Statement: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To serve current and future students by establishing a foundation that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fosters  involvement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, awareness, and unity.</w:t>
      </w:r>
    </w:p>
    <w:p w14:paraId="39F19381" w14:textId="77777777" w:rsidR="002454BB" w:rsidRDefault="002454BB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</w:rPr>
      </w:pPr>
    </w:p>
    <w:sectPr w:rsidR="002454BB">
      <w:headerReference w:type="default" r:id="rId8"/>
      <w:headerReference w:type="first" r:id="rId9"/>
      <w:footerReference w:type="first" r:id="rId10"/>
      <w:pgSz w:w="12240" w:h="15840"/>
      <w:pgMar w:top="620" w:right="750" w:bottom="1875" w:left="14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A393" w14:textId="77777777" w:rsidR="00532A6A" w:rsidRDefault="00532A6A">
      <w:pPr>
        <w:spacing w:line="240" w:lineRule="auto"/>
      </w:pPr>
      <w:r>
        <w:separator/>
      </w:r>
    </w:p>
  </w:endnote>
  <w:endnote w:type="continuationSeparator" w:id="0">
    <w:p w14:paraId="23256545" w14:textId="77777777" w:rsidR="00532A6A" w:rsidRDefault="00532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EDF1" w14:textId="77777777" w:rsidR="002454BB" w:rsidRDefault="002454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F6C7" w14:textId="77777777" w:rsidR="00532A6A" w:rsidRDefault="00532A6A">
      <w:pPr>
        <w:spacing w:line="240" w:lineRule="auto"/>
      </w:pPr>
      <w:r>
        <w:separator/>
      </w:r>
    </w:p>
  </w:footnote>
  <w:footnote w:type="continuationSeparator" w:id="0">
    <w:p w14:paraId="62E5743A" w14:textId="77777777" w:rsidR="00532A6A" w:rsidRDefault="00532A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F226" w14:textId="77777777" w:rsidR="002454BB" w:rsidRDefault="002454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EE9C" w14:textId="77777777" w:rsidR="002454BB" w:rsidRDefault="00000000">
    <w:pPr>
      <w:widowControl w:val="0"/>
      <w:ind w:right="90" w:firstLine="720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5E46D1FC" wp14:editId="5DF29EFD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33550" cy="12668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A9B30F" w14:textId="77777777" w:rsidR="002454BB" w:rsidRDefault="00000000">
    <w:pPr>
      <w:widowControl w:val="0"/>
      <w:ind w:left="1440" w:right="90" w:firstLine="720"/>
    </w:pPr>
    <w:r>
      <w:rPr>
        <w:rFonts w:ascii="Times New Roman" w:eastAsia="Times New Roman" w:hAnsi="Times New Roman" w:cs="Times New Roman"/>
        <w:b/>
      </w:rPr>
      <w:t>CHC Student Senate Regular Meeting Agenda</w:t>
    </w:r>
  </w:p>
  <w:p w14:paraId="48471EDD" w14:textId="77777777" w:rsidR="002454BB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(PST) 04/11/2025 3:00pm - 5:00pm</w:t>
    </w:r>
  </w:p>
  <w:p w14:paraId="6B77EB02" w14:textId="77777777" w:rsidR="002454BB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Crafton Hills College, CCR-155</w:t>
    </w:r>
  </w:p>
  <w:p w14:paraId="727FAD0D" w14:textId="77777777" w:rsidR="002454BB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11711 Sand Canyon Rd. Yucaipa, CA 92399 - (909) 289-3410</w:t>
    </w:r>
  </w:p>
  <w:p w14:paraId="271EB958" w14:textId="77777777" w:rsidR="002454BB" w:rsidRDefault="002454BB">
    <w:pPr>
      <w:widowControl w:val="0"/>
      <w:ind w:right="90" w:firstLine="720"/>
      <w:rPr>
        <w:rFonts w:ascii="Times New Roman" w:eastAsia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BB"/>
    <w:rsid w:val="002454BB"/>
    <w:rsid w:val="00532A6A"/>
    <w:rsid w:val="00994DAB"/>
    <w:rsid w:val="00B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0B89"/>
  <w15:docId w15:val="{239C5B9E-5FDE-4928-B9F2-8333BC0B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G27Zh_bJuquEeY1owr1LTXY_OKC6BYUyT9Cddt7gBVc/edit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jXrF3DM3bIrTBDTpNr_V7TPOrNa37HnsqQM67PuQwhk/edit?usp=shar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4011</Characters>
  <Application>Microsoft Office Word</Application>
  <DocSecurity>0</DocSecurity>
  <Lines>33</Lines>
  <Paragraphs>9</Paragraphs>
  <ScaleCrop>false</ScaleCrop>
  <Company>San Bernardino Community College District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Cortz, Zachary D.</dc:creator>
  <cp:lastModifiedBy>Cortz, Zachary D.</cp:lastModifiedBy>
  <cp:revision>2</cp:revision>
  <dcterms:created xsi:type="dcterms:W3CDTF">2025-04-16T00:16:00Z</dcterms:created>
  <dcterms:modified xsi:type="dcterms:W3CDTF">2025-04-16T00:16:00Z</dcterms:modified>
</cp:coreProperties>
</file>